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FA61A0" w:rsidRPr="00DA5BBA" w:rsidRDefault="00FA61A0" w:rsidP="00FA61A0">
      <w:pPr>
        <w:jc w:val="center"/>
        <w:rPr>
          <w:rFonts w:ascii="Gadugi" w:hAnsi="Gadugi" w:cs="Calibri"/>
          <w:b/>
          <w:bCs/>
        </w:rPr>
      </w:pPr>
      <w:r w:rsidRPr="00DA5BBA">
        <w:rPr>
          <w:rFonts w:ascii="Gadugi" w:hAnsi="Gadugi" w:cs="Calibri"/>
          <w:b/>
          <w:bCs/>
        </w:rPr>
        <w:t>AVVISO</w:t>
      </w:r>
    </w:p>
    <w:p w:rsidR="00FA61A0" w:rsidRDefault="00FA61A0" w:rsidP="00FA61A0">
      <w:pPr>
        <w:pStyle w:val="Testonormale"/>
        <w:jc w:val="both"/>
        <w:rPr>
          <w:rFonts w:ascii="Gadugi" w:hAnsi="Gadugi"/>
          <w:b/>
          <w:color w:val="000000"/>
          <w:szCs w:val="22"/>
        </w:rPr>
      </w:pPr>
      <w:r w:rsidRPr="00DA5BBA">
        <w:rPr>
          <w:rFonts w:ascii="Gadugi" w:hAnsi="Gadugi" w:cs="Calibri"/>
          <w:b/>
          <w:bCs/>
          <w:szCs w:val="22"/>
        </w:rPr>
        <w:t xml:space="preserve">DI </w:t>
      </w:r>
      <w:r>
        <w:rPr>
          <w:rFonts w:ascii="Gadugi" w:hAnsi="Gadugi" w:cs="Calibri"/>
          <w:b/>
          <w:bCs/>
          <w:szCs w:val="22"/>
        </w:rPr>
        <w:t>CONSULTAZIONE PRELIMINARE DI MERCATO</w:t>
      </w:r>
      <w:r w:rsidRPr="00174FFA">
        <w:rPr>
          <w:rFonts w:ascii="Gadugi" w:hAnsi="Gadugi" w:cs="Calibri"/>
          <w:b/>
          <w:bCs/>
          <w:szCs w:val="22"/>
        </w:rPr>
        <w:t xml:space="preserve"> </w:t>
      </w:r>
      <w:r w:rsidRPr="00DA5BBA">
        <w:rPr>
          <w:rFonts w:ascii="Gadugi" w:hAnsi="Gadugi"/>
          <w:b/>
          <w:color w:val="000000"/>
          <w:szCs w:val="22"/>
        </w:rPr>
        <w:t xml:space="preserve">PER LA FORNITURA </w:t>
      </w:r>
      <w:r>
        <w:rPr>
          <w:rFonts w:ascii="Gadugi" w:hAnsi="Gadugi"/>
          <w:b/>
          <w:color w:val="000000"/>
          <w:szCs w:val="22"/>
        </w:rPr>
        <w:t>DI KIT PER IL PRELIEVO ADIPOSO (LIPOFILLING) CON L’UTILIZZO IN</w:t>
      </w:r>
      <w:r w:rsidR="003739D8">
        <w:rPr>
          <w:rFonts w:ascii="Gadugi" w:hAnsi="Gadugi"/>
          <w:b/>
          <w:color w:val="000000"/>
          <w:szCs w:val="22"/>
        </w:rPr>
        <w:t xml:space="preserve"> COMODATO D’USO DI APPARECCHIO </w:t>
      </w:r>
      <w:bookmarkStart w:id="0" w:name="_GoBack"/>
      <w:bookmarkEnd w:id="0"/>
      <w:r>
        <w:rPr>
          <w:rFonts w:ascii="Gadugi" w:hAnsi="Gadugi"/>
          <w:b/>
          <w:color w:val="000000"/>
          <w:szCs w:val="22"/>
        </w:rPr>
        <w:t xml:space="preserve">A GETTO D’ACQUA DESTINATI ALLA LIPOASPIRAZIONE RICOSTRUTTIVA IN CHIRURGIA PLASTICA. PROCEDURA NEGOZIATA SENZA PUBBLICAZIONE DI BANDO AI </w:t>
      </w:r>
      <w:r w:rsidRPr="00FA61A0">
        <w:rPr>
          <w:rFonts w:ascii="Gadugi" w:hAnsi="Gadugi"/>
          <w:b/>
          <w:color w:val="000000"/>
          <w:szCs w:val="22"/>
        </w:rPr>
        <w:t>SENSI DELL’ART. 76, COMMA 2 LETT. B) DEL D.LGS. N. 36/2023</w:t>
      </w:r>
      <w:r>
        <w:rPr>
          <w:rFonts w:ascii="Gadugi" w:hAnsi="Gadugi"/>
          <w:b/>
          <w:color w:val="000000"/>
          <w:szCs w:val="22"/>
        </w:rPr>
        <w:t xml:space="preserve"> </w:t>
      </w:r>
    </w:p>
    <w:p w:rsidR="00123751" w:rsidRPr="00123751" w:rsidRDefault="00123751" w:rsidP="00FA61A0">
      <w:pPr>
        <w:pStyle w:val="Testonormale"/>
        <w:jc w:val="both"/>
        <w:rPr>
          <w:rFonts w:ascii="Gadugi" w:hAnsi="Gadugi"/>
          <w:szCs w:val="22"/>
        </w:rPr>
      </w:pPr>
      <w:r w:rsidRPr="00123751">
        <w:rPr>
          <w:rFonts w:ascii="Gadugi" w:hAnsi="Gadugi"/>
          <w:color w:val="000000"/>
          <w:szCs w:val="22"/>
        </w:rPr>
        <w:t>RDI:</w:t>
      </w:r>
      <w:r>
        <w:rPr>
          <w:rFonts w:ascii="Gadugi" w:hAnsi="Gadugi"/>
          <w:color w:val="000000"/>
          <w:szCs w:val="22"/>
        </w:rPr>
        <w:t xml:space="preserve"> </w:t>
      </w:r>
      <w:r w:rsidRPr="00123751">
        <w:rPr>
          <w:rFonts w:ascii="Gadugi" w:hAnsi="Gadugi"/>
          <w:color w:val="000000"/>
          <w:szCs w:val="22"/>
        </w:rPr>
        <w:t>rdi_4949</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lastRenderedPageBreak/>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3739D8">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B3850"/>
    <w:rsid w:val="000B7AD5"/>
    <w:rsid w:val="000C33FE"/>
    <w:rsid w:val="000E3347"/>
    <w:rsid w:val="000F3CBD"/>
    <w:rsid w:val="0011070E"/>
    <w:rsid w:val="00123751"/>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0773"/>
    <w:rsid w:val="003026EA"/>
    <w:rsid w:val="00310A80"/>
    <w:rsid w:val="00335228"/>
    <w:rsid w:val="0037125A"/>
    <w:rsid w:val="00372996"/>
    <w:rsid w:val="003739D8"/>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2783"/>
    <w:rsid w:val="00D579AC"/>
    <w:rsid w:val="00D667C0"/>
    <w:rsid w:val="00D66DF4"/>
    <w:rsid w:val="00D77C25"/>
    <w:rsid w:val="00DA6E01"/>
    <w:rsid w:val="00DA7A64"/>
    <w:rsid w:val="00DB21A3"/>
    <w:rsid w:val="00DD1270"/>
    <w:rsid w:val="00DE4EDC"/>
    <w:rsid w:val="00DE512A"/>
    <w:rsid w:val="00E02976"/>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53785"/>
    <w:rsid w:val="00F56307"/>
    <w:rsid w:val="00F62179"/>
    <w:rsid w:val="00F72E4E"/>
    <w:rsid w:val="00F74FF0"/>
    <w:rsid w:val="00F840A7"/>
    <w:rsid w:val="00F91D04"/>
    <w:rsid w:val="00F95373"/>
    <w:rsid w:val="00FA218B"/>
    <w:rsid w:val="00FA61A0"/>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6625"/>
    <o:shapelayout v:ext="edit">
      <o:idmap v:ext="edit" data="1"/>
    </o:shapelayout>
  </w:shapeDefaults>
  <w:decimalSymbol w:val=","/>
  <w:listSeparator w:val=";"/>
  <w14:docId w14:val="6E34191E"/>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2422</Words>
  <Characters>13809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Isabella Dal Bo</cp:lastModifiedBy>
  <cp:revision>33</cp:revision>
  <cp:lastPrinted>2023-09-26T09:25:00Z</cp:lastPrinted>
  <dcterms:created xsi:type="dcterms:W3CDTF">2021-07-12T14:16:00Z</dcterms:created>
  <dcterms:modified xsi:type="dcterms:W3CDTF">2023-09-29T06:40:00Z</dcterms:modified>
</cp:coreProperties>
</file>